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line">
              <wp:posOffset>49530</wp:posOffset>
            </wp:positionV>
            <wp:extent cx="2340000" cy="2880000"/>
            <wp:effectExtent l="0" t="0" r="0" b="0"/>
            <wp:wrapSquare wrapText="bothSides" distL="57150" distR="57150" distT="57150" distB="57150"/>
            <wp:docPr id="1073741825" name="officeArt object" descr="修理后的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修理后的图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28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刘开扬，博士，教授，生命科学中心主任。</w:t>
      </w:r>
    </w:p>
    <w:p>
      <w:pPr>
        <w:pStyle w:val="Normal.0"/>
        <w:spacing w:line="360" w:lineRule="auto"/>
        <w:ind w:left="1280" w:firstLine="560"/>
        <w:rPr>
          <w:sz w:val="28"/>
          <w:szCs w:val="28"/>
        </w:rPr>
      </w:pP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社会兼职：中国抗炎免疫药理学会副秘书长，中国微生物学会会员，《中国组织工程研究与临床康复》杂志执行编委，</w:t>
      </w:r>
      <w:r>
        <w:rPr>
          <w:sz w:val="28"/>
          <w:szCs w:val="28"/>
          <w:rtl w:val="0"/>
          <w:lang w:val="en-US"/>
        </w:rPr>
        <w:t>SCI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收录期刊</w:t>
      </w:r>
      <w:r>
        <w:rPr>
          <w:sz w:val="28"/>
          <w:szCs w:val="28"/>
          <w:rtl w:val="0"/>
          <w:lang w:val="en-US"/>
        </w:rPr>
        <w:t>Life Sciences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等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审稿人。</w:t>
      </w:r>
    </w:p>
    <w:p>
      <w:pPr>
        <w:pStyle w:val="Normal.0"/>
        <w:spacing w:line="360" w:lineRule="auto"/>
        <w:ind w:firstLine="560"/>
        <w:rPr>
          <w:sz w:val="28"/>
          <w:szCs w:val="28"/>
        </w:rPr>
      </w:pP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主要研究方向为</w:t>
      </w:r>
      <w:r>
        <w:rPr>
          <w:sz w:val="28"/>
          <w:szCs w:val="28"/>
          <w:rtl w:val="0"/>
          <w:lang w:val="en-US"/>
        </w:rPr>
        <w:t>“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新城疫病毒抗肿瘤分子机制研究</w:t>
      </w:r>
      <w:r>
        <w:rPr>
          <w:sz w:val="28"/>
          <w:szCs w:val="28"/>
          <w:rtl w:val="0"/>
          <w:lang w:val="en-US"/>
        </w:rPr>
        <w:t>”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及</w:t>
      </w:r>
      <w:r>
        <w:rPr>
          <w:sz w:val="28"/>
          <w:szCs w:val="28"/>
          <w:rtl w:val="0"/>
          <w:lang w:val="en-US"/>
        </w:rPr>
        <w:t>“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病毒与机体相互作用的免疫学、分子生物学机理研究</w:t>
      </w:r>
      <w:r>
        <w:rPr>
          <w:sz w:val="28"/>
          <w:szCs w:val="28"/>
          <w:rtl w:val="0"/>
          <w:lang w:val="en-US"/>
        </w:rPr>
        <w:t>”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。在美国德克萨斯大学圣安东尼奥健康科学中心作访问学者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期间研究方向为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“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衣原体致病机理研究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”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。</w:t>
      </w:r>
    </w:p>
    <w:p>
      <w:pPr>
        <w:pStyle w:val="Normal.0"/>
        <w:spacing w:line="360" w:lineRule="auto"/>
        <w:ind w:firstLine="560"/>
        <w:rPr>
          <w:sz w:val="28"/>
          <w:szCs w:val="28"/>
        </w:rPr>
      </w:pP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科研与获奖：主持的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NDV HBNU/LSRC/F3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株、</w:t>
      </w:r>
      <w:r>
        <w:rPr>
          <w:sz w:val="28"/>
          <w:szCs w:val="28"/>
          <w:rtl w:val="0"/>
          <w:lang w:val="en-US"/>
        </w:rPr>
        <w:t>C3N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及其抗消化道肿瘤活性研究</w:t>
      </w:r>
      <w:r>
        <w:rPr>
          <w:sz w:val="28"/>
          <w:szCs w:val="28"/>
          <w:rtl w:val="0"/>
          <w:lang w:val="en-US"/>
        </w:rPr>
        <w:t>”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获河北省科技进步三等奖、张家口市科技进步一等奖。参与的</w:t>
      </w:r>
      <w:r>
        <w:rPr>
          <w:sz w:val="28"/>
          <w:szCs w:val="28"/>
          <w:rtl w:val="0"/>
          <w:lang w:val="en-US"/>
        </w:rPr>
        <w:t>“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胃癌细胞</w:t>
      </w:r>
      <w:r>
        <w:rPr>
          <w:sz w:val="28"/>
          <w:szCs w:val="28"/>
          <w:rtl w:val="0"/>
          <w:lang w:val="en-US"/>
        </w:rPr>
        <w:t>HSP70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的表达及某些因子的影响的研究</w:t>
      </w:r>
      <w:r>
        <w:rPr>
          <w:sz w:val="28"/>
          <w:szCs w:val="28"/>
          <w:rtl w:val="0"/>
          <w:lang w:val="en-US"/>
        </w:rPr>
        <w:t>”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获张家口市科技进步一等奖。</w:t>
      </w:r>
    </w:p>
    <w:p>
      <w:pPr>
        <w:pStyle w:val="Normal.0"/>
        <w:spacing w:line="360" w:lineRule="auto"/>
        <w:ind w:firstLine="560"/>
      </w:pP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研究生带教：自</w:t>
      </w:r>
      <w:r>
        <w:rPr>
          <w:sz w:val="28"/>
          <w:szCs w:val="28"/>
          <w:rtl w:val="0"/>
          <w:lang w:val="en-US"/>
        </w:rPr>
        <w:t>2008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年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作为硕士研究生第一导师进行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研究生带教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工作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至今，共带教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11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人，其中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8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人已毕业，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3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人在研。带教课题包括近五年主持河北省自然科学基金课题</w:t>
      </w:r>
      <w:r>
        <w:rPr>
          <w:sz w:val="28"/>
          <w:szCs w:val="28"/>
          <w:rtl w:val="0"/>
          <w:lang w:val="en-US"/>
        </w:rPr>
        <w:t>3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项、校重大课题</w:t>
      </w:r>
      <w:r>
        <w:rPr>
          <w:sz w:val="28"/>
          <w:szCs w:val="28"/>
          <w:rtl w:val="0"/>
          <w:lang w:val="en-US"/>
        </w:rPr>
        <w:t>1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项，校创新人才项目</w:t>
      </w:r>
      <w:r>
        <w:rPr>
          <w:sz w:val="28"/>
          <w:szCs w:val="28"/>
          <w:rtl w:val="0"/>
          <w:lang w:val="en-US"/>
        </w:rPr>
        <w:t>1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项，主研及参与市级以上科研课题</w:t>
      </w:r>
      <w:r>
        <w:rPr>
          <w:sz w:val="28"/>
          <w:szCs w:val="28"/>
          <w:rtl w:val="0"/>
          <w:lang w:val="en-US"/>
        </w:rPr>
        <w:t>5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项。教学工作包括医学相关专业本科《医学微生物学》、《医学微生物学检验》、《细胞培养技术》、《感染微生态学》及《专业英语》，医学相关专业硕士研究生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《生物安全》、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《细胞培养技术》及《分子病毒学》，留学生《</w:t>
      </w:r>
      <w:r>
        <w:rPr>
          <w:sz w:val="28"/>
          <w:szCs w:val="28"/>
          <w:rtl w:val="0"/>
          <w:lang w:val="en-US"/>
        </w:rPr>
        <w:t>Medical Microbiology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》的全部理论及实验课教学。近年以第一作者或通讯作者发表</w:t>
      </w:r>
      <w:r>
        <w:rPr>
          <w:sz w:val="28"/>
          <w:szCs w:val="28"/>
          <w:rtl w:val="0"/>
          <w:lang w:val="en-US"/>
        </w:rPr>
        <w:t>SCI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期刊论著</w:t>
      </w:r>
      <w:r>
        <w:rPr>
          <w:sz w:val="28"/>
          <w:szCs w:val="28"/>
          <w:rtl w:val="0"/>
          <w:lang w:val="en-US"/>
        </w:rPr>
        <w:t>4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篇、</w:t>
      </w:r>
      <w:r>
        <w:rPr>
          <w:sz w:val="28"/>
          <w:szCs w:val="28"/>
          <w:rtl w:val="0"/>
          <w:lang w:val="en-US"/>
        </w:rPr>
        <w:t>EI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期刊论著</w:t>
      </w:r>
      <w:r>
        <w:rPr>
          <w:sz w:val="28"/>
          <w:szCs w:val="28"/>
          <w:rtl w:val="0"/>
          <w:lang w:val="en-US"/>
        </w:rPr>
        <w:t>1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篇、</w:t>
      </w:r>
      <w:r>
        <w:rPr>
          <w:sz w:val="28"/>
          <w:szCs w:val="28"/>
          <w:rtl w:val="0"/>
          <w:lang w:val="en-US"/>
        </w:rPr>
        <w:t>CSCD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等核心期刊论著</w:t>
      </w:r>
      <w:r>
        <w:rPr>
          <w:sz w:val="28"/>
          <w:szCs w:val="28"/>
          <w:rtl w:val="0"/>
          <w:lang w:val="en-US"/>
        </w:rPr>
        <w:t>60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余篇。</w: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